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4" w:rsidRPr="00C06981" w:rsidRDefault="000F2714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F2714" w:rsidRPr="00C06981" w:rsidRDefault="000F2714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Pr="00C06981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981" w:rsidRPr="00C06981" w:rsidRDefault="00C0698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F75" w:rsidRDefault="00966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3D18" w:rsidRPr="00C06981" w:rsidRDefault="00083D1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966F75" w:rsidP="00966F7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Правил предоставления в 2020 – 2021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лагоустройство дворовых территорий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общественных пространств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устройство наружного освещения улично-дорожной сети в </w:t>
      </w: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районах Еврейской автономной области 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 w:rsidP="006328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139.1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государственной </w:t>
      </w:r>
      <w:hyperlink r:id="rId8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6F75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комфортной городской среды в Еврейской автономной области» на 2018 – 2024 годы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Еврейской автономной области от </w:t>
      </w:r>
      <w:r w:rsidR="00CA3729" w:rsidRPr="00C06981">
        <w:rPr>
          <w:rFonts w:ascii="Times New Roman" w:hAnsi="Times New Roman"/>
          <w:color w:val="000000" w:themeColor="text1"/>
          <w:sz w:val="28"/>
          <w:szCs w:val="28"/>
        </w:rPr>
        <w:t>18.10.2017 № 433-пп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9" w:history="1">
        <w:r w:rsidRPr="00C0698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Еврейской автономной области от 22.06.2018 </w:t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 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Плана социального развития центров экономического роста Еврейской автономной области</w:t>
      </w:r>
      <w:r w:rsidR="00CA3729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Еврейской автономной области</w:t>
      </w:r>
      <w:r w:rsidR="006328E1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0F2714" w:rsidRPr="00C06981" w:rsidRDefault="000F2714" w:rsidP="006328E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CA3729" w:rsidRPr="00C06981" w:rsidRDefault="000F2714" w:rsidP="006328E1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прилагаемые </w:t>
      </w:r>
      <w:hyperlink w:anchor="P32" w:history="1">
        <w:r w:rsidRPr="00C0698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Правила</w:t>
        </w:r>
      </w:hyperlink>
      <w:r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в 2020 – 2021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территорий, общественных пространств</w:t>
      </w:r>
      <w:r w:rsidR="006328E1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CA3729" w:rsidRPr="00C069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устройство наружного освещения улично-дорожной сети в муниципальных районах Еврейской автономной области. </w:t>
      </w:r>
    </w:p>
    <w:p w:rsidR="000F2714" w:rsidRPr="00C06981" w:rsidRDefault="000F2714" w:rsidP="00CA37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области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Р.Э. Гольдштейн</w:t>
      </w: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3D18" w:rsidRDefault="00083D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83D18" w:rsidSect="00083D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54E" w:rsidRDefault="001635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6354E" w:rsidSect="00083D18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328E1" w:rsidRPr="00C06981" w:rsidRDefault="006328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06981" w:rsidRPr="00C06981" w:rsidTr="006328E1">
        <w:tc>
          <w:tcPr>
            <w:tcW w:w="4076" w:type="dxa"/>
          </w:tcPr>
          <w:p w:rsidR="006328E1" w:rsidRPr="00C06981" w:rsidRDefault="006328E1" w:rsidP="00632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  <w:p w:rsidR="006328E1" w:rsidRPr="00C06981" w:rsidRDefault="006328E1" w:rsidP="00632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3729" w:rsidRPr="00C06981" w:rsidRDefault="006328E1" w:rsidP="00632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CA3729"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</w:t>
            </w:r>
          </w:p>
          <w:p w:rsidR="00CA3729" w:rsidRPr="00C06981" w:rsidRDefault="00CA3729" w:rsidP="00632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Еврейской автономной области</w:t>
            </w:r>
          </w:p>
          <w:p w:rsidR="006328E1" w:rsidRPr="00C06981" w:rsidRDefault="00022B08" w:rsidP="006328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от____________№_________</w:t>
            </w:r>
          </w:p>
        </w:tc>
      </w:tr>
    </w:tbl>
    <w:p w:rsidR="00CA3729" w:rsidRPr="00C06981" w:rsidRDefault="00CA372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Start w:id="1" w:name="P32"/>
    <w:bookmarkEnd w:id="1"/>
    <w:p w:rsidR="00022B08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\l "P32" </w:instrTex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в 2020 – 2021 годах 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 из областного бюджета за счет 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бюджета бюджетам муниципальных образований Еврейской автономной области на благоустройство дворовых территорий, общественных пространств и устройство наружного освещения 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улично-дорожной сети в муниципальных районах </w:t>
      </w:r>
    </w:p>
    <w:p w:rsidR="000F2714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6328E1" w:rsidRPr="00C06981" w:rsidRDefault="006328E1" w:rsidP="006328E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Настоящие </w:t>
      </w:r>
      <w:hyperlink w:anchor="P32" w:history="1">
        <w:r w:rsidR="006328E1" w:rsidRPr="00C06981">
          <w:rPr>
            <w:rFonts w:ascii="Times New Roman" w:hAnsi="Times New Roman"/>
            <w:color w:val="000000" w:themeColor="text1"/>
            <w:sz w:val="28"/>
            <w:szCs w:val="28"/>
          </w:rPr>
          <w:t>Правила</w:t>
        </w:r>
      </w:hyperlink>
      <w:r w:rsidR="006328E1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в 2020 – 2021 годах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благоустройство дворовых территорий, общественных пространств и устройство наружного освещения улично-дорожной сети в муниципальных районах Еврейской автономной области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, устанавливают порядок и условия предоставления в 2019 году иных межбюджетных трансфертов из областного бюджета за счет средств федерального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бюджета бюджетам муниципальных образований Еврейской автономной области (далее </w:t>
      </w:r>
      <w:r w:rsidR="006328E1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муниципальные образования)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благоустройство дворовых территорий, общественных пространств и устройство наружного освещения улично-дорожной сети в муниципальных районах Еврейской автономной области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трансферт).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2. Трансферт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имеет целевое назначение и не может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быть использован муниципальными образованиями на иные цели.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3. Трансферт предоставляется в целях софинансирования расходных обязательств муниципальных образований на мероприятия по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благоустройство дворовых территорий, общественных пространств и устройство наружного освещения улично-дорожной сети в муниципальных районах Еврейской автономной области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4. Условиями предоставления трансферта являются:</w:t>
      </w:r>
    </w:p>
    <w:p w:rsidR="000F2714" w:rsidRPr="00C06981" w:rsidRDefault="000F2714" w:rsidP="00022B0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наличие в муниципальной программе мероприятия </w:t>
      </w:r>
      <w:r w:rsidR="00022B08" w:rsidRPr="00C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благоустройство дворовых территорий, общественных пространств и устройство наружного освещения улично-дорожной сети в муниципальных районах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>территории, светильники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наличие в бюджете муниципального образования бюджетных ассигнований на исполнение расходных обязательств на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территорий  и установку светильников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Трансферт предоставляется управлением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жилищно-коммунального хозяйства и энергетики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Еврейской автономной области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управление)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6. Уровень софинансирования расходного обязательства муниципальных образований за счет сре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дств тр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ансферта составляет 99 процентов расходного обязательства муниципальных образований.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7. Предоставление трансферта бюджетам муниципальных образований осуществляется на основании заключенного соглашения между управлением и муниципальным образованием (далее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Соглашение) путем перечисления средств на счет, открытый в территориальном органе Федерального казначейства.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Соглашение должно содержать: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сведения о муниципальном правовом акте муниципального образования, устанавливающем расходное обязательство муниципального образования области, в целях софинансирования которого предоставляется трансферт;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целевое назначение предоставления трансферта;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реквизиты муниципального правового акта муниципального образования об утверждении (корректировке) муниципальной программы муниципального образования в сфере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жилищно-коммунального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хозяйства, включающей целевые показатели и мероприятия, соответствующие региональным проектам;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сведения об объеме трансферта, а также объеме бюджетных ассигнований, предусмотренных в бюджете муниципального образования на реализацию мероприятий по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благоустройству территорий  и установке светильников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условия и порядок предоставления трансферта;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в целях софинансирования которого предоставляется трансферт;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значения показателей результативности использования трансферта и обязательства муниципального образования области по их достижению;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сроки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трансферт, а также о достижении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последствия </w:t>
      </w:r>
      <w:proofErr w:type="spell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proofErr w:type="spell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муниципальным образованием установленных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lastRenderedPageBreak/>
        <w:t>- ответственность сторон за нарушение условий Соглашения;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порядок осуществления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муниципальным образованием условий, установленных при предоставлении трансферта;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- порядок осуществления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порядок возврата трансферта муниципальным образованием в случае нарушения условий, установленных при его предоставлении;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- иные условия, определяемые по соглашению сторон, регулирующие порядок предоставления трансферта.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Орган местного самоуправления муниципального образования представляет в управление отчетность об использовании иного межбюджетного трансферта в порядке и сроки, которые предусмотрены соглашением.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8. Распределение иного межбюджетного трансферта производится в рамках государственной </w:t>
      </w:r>
      <w:hyperlink r:id="rId16" w:history="1">
        <w:r w:rsidRPr="00C06981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Формирование комфортной городской среды в Еврейской автономной области» на 2018 – 2024 годы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постановлением правительства Еврейской автономной области от </w:t>
      </w:r>
      <w:r w:rsidR="00FE33F4" w:rsidRPr="00C069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18.10.2017 № 433-пп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9. Оценка эффективности использования трансферта осуществляется управлением исходя из достигнутых муниципальным образованием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10. Показателем результативности использования трансферта является количество 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>благоустроенных терр</w:t>
      </w:r>
      <w:r w:rsidR="00C06981" w:rsidRPr="00C06981">
        <w:rPr>
          <w:rFonts w:ascii="Times New Roman" w:hAnsi="Times New Roman"/>
          <w:color w:val="000000" w:themeColor="text1"/>
          <w:sz w:val="28"/>
          <w:szCs w:val="28"/>
        </w:rPr>
        <w:t>иторий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и установ</w:t>
      </w:r>
      <w:r w:rsidR="00C06981" w:rsidRPr="00C06981">
        <w:rPr>
          <w:rFonts w:ascii="Times New Roman" w:hAnsi="Times New Roman"/>
          <w:color w:val="000000" w:themeColor="text1"/>
          <w:sz w:val="28"/>
          <w:szCs w:val="28"/>
        </w:rPr>
        <w:t>ленных</w:t>
      </w:r>
      <w:r w:rsidR="00022B08"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светильников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t>муниципальным образованием.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11. Муниципальное образование ежемесячно не позднее 3 числа месяца, следующего за отчетным месяцем, представляет в управление отчеты об осуществлении расходов бюджета муниципального образования, источником финансового обеспечения которых является трансферт.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В случае выявления управлением или органами государственного финансового контроля нарушений получателем трансферта условий, целей и порядка предоставления трансферта, а также условий соглашения соответствующий объем трансфертов подлежит возврату в бюджет области в течение 15 календарных дней со дня предъявления управлением или органами государственного финансового контроля соответствующего требования.</w:t>
      </w:r>
      <w:proofErr w:type="gramEnd"/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13. Ответственность за нецелевое использование сре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дств тр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ансферта несет получатель трансферта.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14.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Не использованный на 1 января года, следующего за отчетным, остаток трансферта подлежит возврату в бюджет области органами местного самоуправления муниципальных образований области в порядке, установленном бюджетным законодательством.</w:t>
      </w:r>
      <w:proofErr w:type="gramEnd"/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15. В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если неиспользованный остаток трансферта не перечислен в бюджет области, указанные средства подлежат взысканию в областной </w:t>
      </w:r>
      <w:r w:rsidRPr="00C06981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 в порядке, установленном бюджетным законодательством Российской Федерации.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16. В случае выявления фактов представления недостоверных отчетов трансферт подлежит возврату в бюджет области в полном объеме независимо от степени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достижения показателей результативности использования трансферта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>17. Трансфе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рт в сл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>учае его нецелевого использования и (или) нарушения муниципальным образованием условий его предоставления подлежит взысканию в бюджет области в соответствии с бюджетным законодательством.</w:t>
      </w:r>
    </w:p>
    <w:p w:rsidR="000F2714" w:rsidRPr="00C06981" w:rsidRDefault="000F2714" w:rsidP="000A2BB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18. </w:t>
      </w:r>
      <w:proofErr w:type="gramStart"/>
      <w:r w:rsidRPr="00C0698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06981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условий, целей и порядка расходования трансферта муниципальными образованиями осуществляется управлением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p w:rsidR="000F2714" w:rsidRPr="00C06981" w:rsidRDefault="000F2714" w:rsidP="000A2B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25BE" w:rsidRPr="00C06981" w:rsidRDefault="00F725BE" w:rsidP="000A2BB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725BE" w:rsidRPr="00C06981" w:rsidSect="0016354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2D" w:rsidRDefault="00133E2D" w:rsidP="00083D18">
      <w:pPr>
        <w:spacing w:after="0" w:line="240" w:lineRule="auto"/>
      </w:pPr>
      <w:r>
        <w:separator/>
      </w:r>
    </w:p>
  </w:endnote>
  <w:endnote w:type="continuationSeparator" w:id="0">
    <w:p w:rsidR="00133E2D" w:rsidRDefault="00133E2D" w:rsidP="0008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2D" w:rsidRDefault="00133E2D" w:rsidP="00083D18">
      <w:pPr>
        <w:spacing w:after="0" w:line="240" w:lineRule="auto"/>
      </w:pPr>
      <w:r>
        <w:separator/>
      </w:r>
    </w:p>
  </w:footnote>
  <w:footnote w:type="continuationSeparator" w:id="0">
    <w:p w:rsidR="00133E2D" w:rsidRDefault="00133E2D" w:rsidP="0008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57350"/>
      <w:docPartObj>
        <w:docPartGallery w:val="Page Numbers (Top of Page)"/>
        <w:docPartUnique/>
      </w:docPartObj>
    </w:sdtPr>
    <w:sdtContent>
      <w:p w:rsidR="00083D18" w:rsidRDefault="00083D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4E">
          <w:rPr>
            <w:noProof/>
          </w:rPr>
          <w:t>3</w:t>
        </w:r>
        <w:r>
          <w:fldChar w:fldCharType="end"/>
        </w:r>
      </w:p>
    </w:sdtContent>
  </w:sdt>
  <w:p w:rsidR="00083D18" w:rsidRDefault="00083D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4E" w:rsidRDefault="0016354E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4"/>
    <w:rsid w:val="00022B08"/>
    <w:rsid w:val="00083D18"/>
    <w:rsid w:val="000A2BB4"/>
    <w:rsid w:val="000F2714"/>
    <w:rsid w:val="00133E2D"/>
    <w:rsid w:val="0016354E"/>
    <w:rsid w:val="004E702F"/>
    <w:rsid w:val="006328E1"/>
    <w:rsid w:val="00811453"/>
    <w:rsid w:val="00966F75"/>
    <w:rsid w:val="00AD1FC0"/>
    <w:rsid w:val="00B82DA3"/>
    <w:rsid w:val="00B90C47"/>
    <w:rsid w:val="00C06981"/>
    <w:rsid w:val="00CA3729"/>
    <w:rsid w:val="00EF47EF"/>
    <w:rsid w:val="00F653A4"/>
    <w:rsid w:val="00F725BE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66F75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59"/>
    <w:rsid w:val="00CA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D18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08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D1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B40D0FE15161DCCBF1FD948BB0996B2005A3551022D0146D583A2FED7AF318F975ED2143336DECF700FC5858DA36405969D6DDD2AB95640F487E9F2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B40D0FE15161DCCBF01D45ED75399B70F0D3F55042F561A8AD8FFA9DEA566C8D80793513D3ED59A234F9183DBF63E509F816BC328EBFDI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3B40D0FE15161DCCBF1FD948BB0996B2005A3551022D0146D583A2FED7AF318F975ED2143336DECF700FC5858DA36405969D6DDD2AB95640F487E9F2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3B40D0FE15161DCCBF1FD948BB0996B2005A3551022C094ED583A2FED7AF318F975EC0146B3ADCCA6C0BC090DBF222E5F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8</cp:revision>
  <dcterms:created xsi:type="dcterms:W3CDTF">2020-04-24T08:05:00Z</dcterms:created>
  <dcterms:modified xsi:type="dcterms:W3CDTF">2020-04-25T07:14:00Z</dcterms:modified>
</cp:coreProperties>
</file>